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gw388893y39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2233613" cy="79823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798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204788</wp:posOffset>
            </wp:positionV>
            <wp:extent cx="2252663" cy="386274"/>
            <wp:effectExtent b="0" l="0" r="0" t="0"/>
            <wp:wrapSquare wrapText="bothSides" distB="114300" distT="11430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386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z7cirdz66sj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2505075</wp:posOffset>
            </wp:positionH>
            <wp:positionV relativeFrom="paragraph">
              <wp:posOffset>371475</wp:posOffset>
            </wp:positionV>
            <wp:extent cx="790494" cy="1062038"/>
            <wp:effectExtent b="0" l="0" r="0" t="0"/>
            <wp:wrapSquare wrapText="bothSides" distB="0" distT="0" distL="0" distR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494" cy="1062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05apyq4xoy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ind w:left="0" w:firstLine="0"/>
        <w:jc w:val="center"/>
        <w:rPr>
          <w:rFonts w:ascii="Merriweather" w:cs="Merriweather" w:eastAsia="Merriweather" w:hAnsi="Merriweather"/>
          <w:b w:val="1"/>
          <w:color w:val="09157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ind w:left="0" w:right="-136.062992125984" w:firstLine="0"/>
        <w:jc w:val="center"/>
        <w:rPr>
          <w:rFonts w:ascii="Merriweather" w:cs="Merriweather" w:eastAsia="Merriweather" w:hAnsi="Merriweather"/>
          <w:b w:val="1"/>
          <w:color w:val="8a784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ind w:left="0" w:right="-136.062992125984" w:firstLine="0"/>
        <w:jc w:val="center"/>
        <w:rPr>
          <w:rFonts w:ascii="Merriweather" w:cs="Merriweather" w:eastAsia="Merriweather" w:hAnsi="Merriweather"/>
          <w:b w:val="1"/>
          <w:color w:val="8a784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ind w:left="0" w:right="-136.062992125984" w:firstLine="0"/>
        <w:jc w:val="center"/>
        <w:rPr>
          <w:rFonts w:ascii="Arial" w:cs="Arial" w:eastAsia="Arial" w:hAnsi="Arial"/>
          <w:b w:val="1"/>
          <w:color w:val="8a784c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8a784c"/>
          <w:sz w:val="32"/>
          <w:szCs w:val="32"/>
          <w:rtl w:val="0"/>
        </w:rPr>
        <w:t xml:space="preserve">Solicitud de Participación “Alfa de Oro”</w:t>
      </w:r>
    </w:p>
    <w:p w:rsidR="00000000" w:rsidDel="00000000" w:rsidP="00000000" w:rsidRDefault="00000000" w:rsidRPr="00000000" w14:paraId="00000008">
      <w:pPr>
        <w:spacing w:before="0" w:line="240" w:lineRule="auto"/>
        <w:ind w:left="0" w:right="-136.062992125984" w:firstLine="0"/>
        <w:jc w:val="center"/>
        <w:rPr>
          <w:rFonts w:ascii="Arial" w:cs="Arial" w:eastAsia="Arial" w:hAnsi="Arial"/>
          <w:b w:val="1"/>
          <w:color w:val="8a784c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8a784c"/>
          <w:sz w:val="32"/>
          <w:szCs w:val="32"/>
          <w:rtl w:val="0"/>
        </w:rPr>
        <w:t xml:space="preserve">de la Sociedad Española de Cerámica y Vidrio</w:t>
      </w:r>
    </w:p>
    <w:p w:rsidR="00000000" w:rsidDel="00000000" w:rsidP="00000000" w:rsidRDefault="00000000" w:rsidRPr="00000000" w14:paraId="00000009">
      <w:pPr>
        <w:spacing w:after="200" w:before="0" w:line="288" w:lineRule="auto"/>
        <w:ind w:left="0" w:firstLine="0"/>
        <w:jc w:val="both"/>
        <w:rPr>
          <w:rFonts w:ascii="Arial" w:cs="Arial" w:eastAsia="Arial" w:hAnsi="Arial"/>
          <w:b w:val="1"/>
          <w:color w:val="09157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D.: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Firma: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Domicilio:</w:t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Teléfono:</w:t>
        <w:tab/>
        <w:tab/>
        <w:tab/>
        <w:tab/>
        <w:tab/>
        <w:t xml:space="preserve">Fax: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Producto presentado que opta al premio (máximo 10 palabras):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Grado de innovación tecnológica o artística:</w:t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Otros méritos artísticos o técnicos:</w:t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Teléfono móvil:</w:t>
      </w:r>
    </w:p>
    <w:p w:rsidR="00000000" w:rsidDel="00000000" w:rsidP="00000000" w:rsidRDefault="00000000" w:rsidRPr="00000000" w14:paraId="00000012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Persona de Contacto:</w:t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4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 que se le admita como candidato a las distinciones que bajo la denominación “ALFA DE ORO”, que concede la Sociedad Española de Cerámica y Vidrio, acompañando, la correspondiente memoria técnica descriptiva, y manifestando, al propio tiempo, su total conformidad con las bases unidas a la presente solicitud. La Sociedad Española de Cerámica y Vidrio previo acuerdo de los participantes podrá publicar una versión autorizada de dicha memoria en la página web de la Sociedad Española de Cerámica y Vidrio. En especial se compromete y obliga a hacer constar en toda la publicidad en que se haga mención a dichos premios, el año de concesión, CEVISAMA como feria promotora y la Sociedad Española de Cerámica y Vidrio como concesionaria de los premios.</w:t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7103b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 ____ </w:t>
      </w: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de 2021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firstLine="0"/>
        <w:jc w:val="both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67103b"/>
          <w:sz w:val="20"/>
          <w:szCs w:val="20"/>
          <w:rtl w:val="0"/>
        </w:rPr>
        <w:t xml:space="preserve">Plazo límite de recepción de solicitudes y memorias técnicas: 7 de mayo de 2021</w:t>
        <w:br w:type="textWrapping"/>
        <w:t xml:space="preserve">El fallo del jurado se hará público el 26 de mayo de 2021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footerReference r:id="rId12" w:type="default"/>
      <w:pgSz w:h="15840" w:w="12240" w:orient="portrait"/>
      <w:pgMar w:bottom="1295.4330708661423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tabs>
        <w:tab w:val="left" w:pos="0"/>
        <w:tab w:val="left" w:pos="5472"/>
      </w:tabs>
      <w:spacing w:before="0" w:line="240" w:lineRule="auto"/>
      <w:ind w:left="-566.9291338582677" w:right="-1419" w:firstLine="0"/>
      <w:rPr>
        <w:rFonts w:ascii="Merriweather" w:cs="Merriweather" w:eastAsia="Merriweather" w:hAnsi="Merriweather"/>
        <w:b w:val="1"/>
        <w:color w:val="091573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Sociedad Española de Cerámica y Vidrio. SECV. c/ Kelsen 5, </w:t>
    </w:r>
  </w:p>
  <w:p w:rsidR="00000000" w:rsidDel="00000000" w:rsidP="00000000" w:rsidRDefault="00000000" w:rsidRPr="00000000" w14:paraId="00000018">
    <w:pPr>
      <w:widowControl w:val="0"/>
      <w:tabs>
        <w:tab w:val="left" w:pos="0"/>
        <w:tab w:val="left" w:pos="5472"/>
      </w:tabs>
      <w:spacing w:before="0" w:line="240" w:lineRule="auto"/>
      <w:ind w:left="-566.9291338582677" w:right="-1419" w:firstLine="0"/>
      <w:rPr>
        <w:rFonts w:ascii="Merriweather" w:cs="Merriweather" w:eastAsia="Merriweather" w:hAnsi="Merriweather"/>
        <w:b w:val="1"/>
        <w:color w:val="091573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Campus de Cantoblanco 28049 Madrid (España)</w:t>
    </w:r>
  </w:p>
  <w:p w:rsidR="00000000" w:rsidDel="00000000" w:rsidP="00000000" w:rsidRDefault="00000000" w:rsidRPr="00000000" w14:paraId="00000019">
    <w:pPr>
      <w:widowControl w:val="0"/>
      <w:tabs>
        <w:tab w:val="left" w:pos="-570"/>
        <w:tab w:val="left" w:pos="5472"/>
      </w:tabs>
      <w:spacing w:before="0" w:line="240" w:lineRule="auto"/>
      <w:ind w:left="-566.9291338582677" w:right="-1419" w:firstLine="0"/>
      <w:rPr>
        <w:rFonts w:ascii="Merriweather" w:cs="Merriweather" w:eastAsia="Merriweather" w:hAnsi="Merriweather"/>
        <w:b w:val="1"/>
        <w:color w:val="091573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Tel.: 34 91 7355840 · Fax: 34 91 7355843 · </w:t>
    </w:r>
    <w:hyperlink r:id="rId1">
      <w:r w:rsidDel="00000000" w:rsidR="00000000" w:rsidRPr="00000000">
        <w:rPr>
          <w:rFonts w:ascii="Merriweather" w:cs="Merriweather" w:eastAsia="Merriweather" w:hAnsi="Merriweather"/>
          <w:b w:val="1"/>
          <w:color w:val="091573"/>
          <w:sz w:val="16"/>
          <w:szCs w:val="16"/>
          <w:u w:val="single"/>
          <w:rtl w:val="0"/>
        </w:rPr>
        <w:t xml:space="preserve">www.secv.es</w:t>
      </w:r>
    </w:hyperlink>
    <w:r w:rsidDel="00000000" w:rsidR="00000000" w:rsidRPr="00000000">
      <w:rPr>
        <w:rFonts w:ascii="Merriweather" w:cs="Merriweather" w:eastAsia="Merriweather" w:hAnsi="Merriweather"/>
        <w:b w:val="1"/>
        <w:color w:val="091573"/>
        <w:sz w:val="16"/>
        <w:szCs w:val="16"/>
        <w:rtl w:val="0"/>
      </w:rPr>
      <w:t xml:space="preserve"> - Twitter: @socespceramvidr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gráfico del pie de página" id="4" name="image6.png"/>
          <a:graphic>
            <a:graphicData uri="http://schemas.openxmlformats.org/drawingml/2006/picture">
              <pic:pic>
                <pic:nvPicPr>
                  <pic:cNvPr descr="gráfico del pie de página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rPr/>
    </w:pPr>
    <w:bookmarkStart w:colFirst="0" w:colLast="0" w:name="_q4vn9mit64yq" w:id="3"/>
    <w:bookmarkEnd w:id="3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-47624</wp:posOffset>
          </wp:positionV>
          <wp:extent cx="7777163" cy="1060522"/>
          <wp:effectExtent b="0" l="0" r="0" t="0"/>
          <wp:wrapSquare wrapText="bothSides" distB="0" distT="0" distL="0" distR="0"/>
          <wp:docPr descr="gráfico del pie de página" id="2" name="image5.png"/>
          <a:graphic>
            <a:graphicData uri="http://schemas.openxmlformats.org/drawingml/2006/picture">
              <pic:pic>
                <pic:nvPicPr>
                  <pic:cNvPr descr="gráfico del pie de página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s_419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/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/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cv.es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